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6F2" w:rsidRPr="002809CA" w:rsidRDefault="00210808" w:rsidP="000246F2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ПРОЕКТ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2809CA" w:rsidTr="00BB59BB">
        <w:trPr>
          <w:trHeight w:val="275"/>
        </w:trPr>
        <w:tc>
          <w:tcPr>
            <w:tcW w:w="2700" w:type="dxa"/>
          </w:tcPr>
          <w:p w:rsidR="00B718E0" w:rsidRPr="002809CA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B718E0" w:rsidRPr="002809CA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2809CA" w:rsidRDefault="00B718E0" w:rsidP="00331EA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236" w:type="dxa"/>
          </w:tcPr>
          <w:p w:rsidR="00B718E0" w:rsidRPr="002809CA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2809CA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024" w:type="dxa"/>
          </w:tcPr>
          <w:p w:rsidR="00B718E0" w:rsidRPr="002809CA" w:rsidRDefault="00B718E0" w:rsidP="00821DE3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 w:rsidR="00821DE3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2809CA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2809CA" w:rsidRDefault="00B718E0" w:rsidP="00331EA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</w:p>
        </w:tc>
        <w:tc>
          <w:tcPr>
            <w:tcW w:w="1440" w:type="dxa"/>
          </w:tcPr>
          <w:p w:rsidR="00B718E0" w:rsidRPr="002809CA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B718E0" w:rsidRPr="002809CA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DD7E04" w:rsidRPr="00DD7E04" w:rsidRDefault="00DD7E04" w:rsidP="00DD7E04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E04">
        <w:rPr>
          <w:rFonts w:ascii="Times New Roman" w:hAnsi="Times New Roman" w:cs="Times New Roman"/>
          <w:b/>
          <w:sz w:val="28"/>
          <w:szCs w:val="28"/>
        </w:rPr>
        <w:t>Об утверждении Положения о  межведомственном координационном Совете Бельтирского сельского поселения в сфере профилактики правонарушений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   В целях выработки мер проведения единой политики по профилактике правонарушений, обеспечения взаимодействия субъектов профилактики правонарушений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D7E0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7E04" w:rsidRPr="00DD7E04" w:rsidRDefault="00DD7E04" w:rsidP="00DD7E0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 межведомственном координационном Совете </w:t>
      </w:r>
      <w:r>
        <w:rPr>
          <w:rFonts w:ascii="Times New Roman" w:hAnsi="Times New Roman" w:cs="Times New Roman"/>
          <w:sz w:val="28"/>
          <w:szCs w:val="28"/>
        </w:rPr>
        <w:t>Бельтирского</w:t>
      </w:r>
      <w:r w:rsidRPr="00DD7E04">
        <w:rPr>
          <w:rFonts w:ascii="Times New Roman" w:hAnsi="Times New Roman" w:cs="Times New Roman"/>
          <w:sz w:val="28"/>
          <w:szCs w:val="28"/>
        </w:rPr>
        <w:t xml:space="preserve"> сельского поселения в сфере профилактики правонарушений (далее – Положение).</w:t>
      </w:r>
    </w:p>
    <w:p w:rsidR="00DD7E04" w:rsidRPr="00DD7E04" w:rsidRDefault="00DD7E04" w:rsidP="00DD7E04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2. Разместить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данное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Бельтиркого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7E04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D7E04">
        <w:rPr>
          <w:rFonts w:ascii="Times New Roman" w:hAnsi="Times New Roman" w:cs="Times New Roman"/>
          <w:sz w:val="28"/>
          <w:szCs w:val="28"/>
        </w:rPr>
        <w:t>.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 Постановление вступает в силу после официального опубликования.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DD7E0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D7E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сельского поселения 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Балгинбаев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Э.Д.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75AE" w:rsidRDefault="002175AE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75AE" w:rsidRDefault="002175AE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75AE" w:rsidRDefault="002175AE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75AE" w:rsidRDefault="002175AE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75AE" w:rsidRDefault="002175AE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75AE" w:rsidRPr="00DD7E04" w:rsidRDefault="002175AE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DD7E04" w:rsidRDefault="00DD7E04" w:rsidP="00DD7E0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Бельтирской </w:t>
      </w:r>
    </w:p>
    <w:p w:rsidR="00DD7E04" w:rsidRDefault="00DD7E04" w:rsidP="00DD7E0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DD7E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E04" w:rsidRPr="00DD7E04" w:rsidRDefault="00DD7E04" w:rsidP="00DD7E04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 </w:t>
      </w:r>
      <w:r w:rsidR="00210808">
        <w:rPr>
          <w:rFonts w:ascii="Times New Roman" w:hAnsi="Times New Roman" w:cs="Times New Roman"/>
          <w:sz w:val="28"/>
          <w:szCs w:val="28"/>
        </w:rPr>
        <w:t>от_____________ №___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6"/>
      <w:bookmarkEnd w:id="0"/>
      <w:r w:rsidRPr="00DD7E0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D7E04" w:rsidRPr="00DD7E04" w:rsidRDefault="00DD7E04" w:rsidP="00DD7E04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"/>
      <w:bookmarkEnd w:id="1"/>
      <w:r w:rsidRPr="00DD7E04">
        <w:rPr>
          <w:rFonts w:ascii="Times New Roman" w:hAnsi="Times New Roman" w:cs="Times New Roman"/>
          <w:b/>
          <w:sz w:val="28"/>
          <w:szCs w:val="28"/>
        </w:rPr>
        <w:t>о  межведомственном координационном Совете Бельтирского сельского поселения в сфере профилактики правонарушений</w:t>
      </w:r>
    </w:p>
    <w:p w:rsidR="00DD7E04" w:rsidRPr="00DD7E04" w:rsidRDefault="00DD7E04" w:rsidP="00DD7E04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1.1. В целях обеспечения реализации государственной политики в сфере профилактики правонарушений, а также в целях координации деятельности в указанной сфере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 создаётся межведомственный координационный Совет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по профилактике правонарушений (далее – Совет).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1.2. Межведомственный координационный Совет является органом, обеспечивающим взаимодействие субъектов, осуществляющих мероприятия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поселения, созданным в целях координации работы по профилактике правонарушений субъектов профилактики правонарушений на территории муниципального района.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1.3. Положение о Совете утверждается нормативным правовым актом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1.4. По вопросам, находящимся в его компетенции, Совет может привлекать к своей работе экспертов, специалистов.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1.5. Реорганизация, упразднение Совета осуществляется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1.6. Совет возглавляет глава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1.7. Организационное и информационно-аналитическое обеспечение деятельности Совета осуществляет управление делами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 Организационные основы функционирования системы профилактики правонарушений в муниципальном районе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2.1. Функционирование системы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2.1.1. Функционирование системы профилактики правонарушений осуществляется на основе муниципальной  программы в сфере профилактики правонарушений «Обеспечение общественной безопасности и противодействие преступности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 на 2018 г».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2.1.2. Финансирование расходов, связанных с реализацией муниципальной программы в сфере профилактики правонарушений «Обеспечение общественной безопасности и противодействие преступности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7583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сельском поселении», осуществляется за счёт и в пределах средств, выделенных бюджетом муниципального района на данные цели.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2.2. Информационное обеспечение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2.2.1. В целях информационного обеспечения профилактики правонарушений, её публичности и открытости, в информационно-телекоммуникационной сети «Интернет» создаётся специальная вкладка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217583">
        <w:rPr>
          <w:rFonts w:ascii="Times New Roman" w:hAnsi="Times New Roman" w:cs="Times New Roman"/>
          <w:sz w:val="28"/>
          <w:szCs w:val="28"/>
          <w:highlight w:val="yellow"/>
        </w:rPr>
        <w:t>«Закон и порядок».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2.3. Мониторинг в сфере профилактики правонарушений</w:t>
      </w:r>
      <w:r w:rsidR="00217583">
        <w:rPr>
          <w:rFonts w:ascii="Times New Roman" w:hAnsi="Times New Roman" w:cs="Times New Roman"/>
          <w:sz w:val="28"/>
          <w:szCs w:val="28"/>
        </w:rPr>
        <w:t xml:space="preserve">. </w:t>
      </w:r>
      <w:r w:rsidRPr="00DD7E04">
        <w:rPr>
          <w:rFonts w:ascii="Times New Roman" w:hAnsi="Times New Roman" w:cs="Times New Roman"/>
          <w:sz w:val="28"/>
          <w:szCs w:val="28"/>
        </w:rPr>
        <w:t>Мониторинг в сфере профилактики правонарушений, установленный Правительством  Российской Федерации, проводится Советом в пределах его компетенции.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217583" w:rsidP="00217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D7E04" w:rsidRPr="00DD7E04">
        <w:rPr>
          <w:rFonts w:ascii="Times New Roman" w:hAnsi="Times New Roman" w:cs="Times New Roman"/>
          <w:sz w:val="28"/>
          <w:szCs w:val="28"/>
        </w:rPr>
        <w:t>Организационные основы работы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3.1. Правовая основа деятельности Совета по профилактике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3.1.1. В своей деятельности Совет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нормами уголовного законодательства Российской Федерации, законодательством Российской Федерации об административных правонарушениях.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Правовое регулирование профилактики правонарушений осуществляется в соответствии с  федеральными конституционными законами, Федеральным законом Российской Федерации от 23 июня 2016 года № 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законами, нормативными актами, муниципальными правовыми актами, а также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3.1.3. Особенности профилактики правонарушений в отдельных сферах общественных отношений определяются соответствующими федеральными законами.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 Принципы работы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3.2.1. Приоритет прав и законных интересов человека и гражданина при осуществлении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3.2.2. Законность.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3.2.3. Обеспечение системности и единства подходов при осуществлении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3.2.4. Открытость, непрерывность, последовательность, своевременность, объективность, достаточность и научная обоснованность принимаемых мер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3.2.5. Компетентность при осуществлении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3.2.6. Ответственность за обеспечение прав и законных интересов человека и гражданина.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 Основные направления деятельности Совета по профилактике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3.3.1. Защита личности, общества, государства от противоправных посягательств.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3.3.2. Предупреждение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3.3.3. Охрана общественного порядка, в том числе при проведении спортивных, зрелищных и иных массовых мероприятий.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3.3.4. Развитие системы профилактического учёта лиц, склонных к совершению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3.3.5. Обеспечение общественной безопасности, в том числе безопасности дорожного движения и транспортной безопасности.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3.3.6. Противодействие незаконной миграции.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3.3.7. Предупреждение безнадзорности, беспризорности, правонарушений и антиобщественных действий несовершеннолетних.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3.3.8. Противодействие терроризму и экстремистской деятельности, защита потенциальных объектов террористических посягательств. В том числе критически важных и (или) потенциально опасных объектов инфраструктуры и жизнеобеспечения, а также мест массового пребывания людей.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3.3.9. Противодействие незаконному обороту наркотических средств, психотропных веществ и иных прекурсоров.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3.3.10. Обеспечение защиты и охраны частной, государственной, муниципальной и иных форм собственности.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3.3.11. Противодействие коррупции, выявление и устранение причин и условий её возникновения.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3.3.12. Обеспечение экологической безопасности, охрана окружающей среды.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3.3.13. Обеспечение экономической безопасности.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3.3.14.Обеспечение пожарной безопасности.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3.3.15. Предупреждение, ликвидация и (или) минимизация последствий чрезвычайных ситуаций природного и техногенного характера.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3.3.16. Повышение уровня правовой грамотности и развитие правосознания граждан.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217583" w:rsidP="00217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="00DD7E04" w:rsidRPr="00DD7E04">
        <w:rPr>
          <w:rFonts w:ascii="Times New Roman" w:hAnsi="Times New Roman" w:cs="Times New Roman"/>
          <w:sz w:val="28"/>
          <w:szCs w:val="28"/>
        </w:rPr>
        <w:t>рофилактики правонарушений и формы профилактического воздействия, применяемые в работе 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4.1. Виды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4.1.1. Общая профилактика правонарушений направлена на выявление и устранение причин, порождающих правонарушения, и условий, способствующих совершению правонарушений или облегчающих их совершение, а также на повышение уровня правовой грамотности и развитие правосознания граждан.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4.1.2. Индивидуальная профилактика правонарушений направлена на оказание воспитательного воздействия на лиц, находящихся в трудной жизненной ситуации, на устранение факторов, отрицательно влияющих на их поведение, а также на оказание помощи лицам, пострадавшим от правонарушений или </w:t>
      </w:r>
      <w:r w:rsidRPr="00DD7E04">
        <w:rPr>
          <w:rFonts w:ascii="Times New Roman" w:hAnsi="Times New Roman" w:cs="Times New Roman"/>
          <w:sz w:val="28"/>
          <w:szCs w:val="28"/>
        </w:rPr>
        <w:lastRenderedPageBreak/>
        <w:t>подверженным риску стать таковыми. Индивидуальная профилактика правонарушений может осуществляться с применением специальных мер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4.2. Основания для осуществления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4.2.1. Профилактика правонарушений осуществляется при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возникновении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социальных, экономических, правовых и иных причин и условий, способствующих совершению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 Формы профилактического воздействия</w:t>
      </w:r>
      <w:r w:rsidR="00217583">
        <w:rPr>
          <w:rFonts w:ascii="Times New Roman" w:hAnsi="Times New Roman" w:cs="Times New Roman"/>
          <w:sz w:val="28"/>
          <w:szCs w:val="28"/>
        </w:rPr>
        <w:t>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4.3.1. Правовое просвещение и правовое информирование.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4.3.2. Профилактическая беседа.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4.3.3. Профилактический учёт.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4.3.4. Социальная адаптация.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4.3.5.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>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4.3.6. Социальная реабилитация.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4.3.7. Помощь лицам, пострадавшим от правонарушений или подверженным риску стать таковыми.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4.4. Правовое просвещение и правовое информирование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В целях правового просвещения и правового информирования субъекты профилактики правонарушений или лица, участвующие в профилактике правонарушений, доводят до сведения граждан и организаций информацию, направленную на обеспечение защиты прав и свобод человека и гражданина, общества и государства от противоправных посягательств. Указанная информация может доводиться до сведения граждан и организаций путём применения различных мер образовательного, воспитательного, информационного, организационного или методического характера.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 Профилактический учёт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4.5.1. Профилактический учёт предназначен для информационного обеспечения деятельности субъектов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4.5.2. Ведение профилактического учёта (сбор, регистрация, обработка, хранение и предоставление информации) осуществляется в пределах полномочий в соответствии с порядками и требованиями, установленными нормативными правовыми актами Российской Федерации, нормативными правовыми актами.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4.5.3. При ведении профилактического учёта обеспечивается конфиденциальность персональных данных о лице, состоящем на профилактическом учете, в соответствии с законодательством Российской Федерации.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4.5.4. При ведении профилактического учёта субъекты профилактики правонарушений осуществляют обмен информацией в соответствии с законодательством Российской Федерации посредством межведомственных запросов, в том числе в электронной форме с использованием единой системы межведомственного электронного взаимодействия.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4.6. Социальная адаптация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4.6.1. Социальная адаптация представляет собой комплекс мероприятий, направленных на оказание лицам, находящимся в трудной жизненной ситуации, содействия в реализации их конституционных прав и свобод, а также помощи в трудовом и бытовом устройстве.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4.6.2. Меры по социальной адаптации применяются в соответствии с законодательством Российской Федерации в отношении следующих категорий лиц, находящихся в трудной жизненной ситуации: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безнадзорные и беспризорные несовершеннолетние;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лица, отбывающие уголовное наказание, не связанное с лишением свободы;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- лица, занимающиеся бродяжничеством и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попрошайничеством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>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несовершеннолетние, подвергнутые принудительным мерам воспитательного воздействия;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лица без определенного места жительства;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E04">
        <w:rPr>
          <w:rFonts w:ascii="Times New Roman" w:hAnsi="Times New Roman" w:cs="Times New Roman"/>
          <w:sz w:val="28"/>
          <w:szCs w:val="28"/>
        </w:rPr>
        <w:t>- другие категории лиц, предусмотренные законодательством Российской Федерации, в том числе лица, прошедшие курс лечения от наркомании, алкоголизма и токсикомании и реабилитацию, а также лица, не способные самостоятельно обеспечить свою безопасность, с их согласия.</w:t>
      </w:r>
      <w:proofErr w:type="gramEnd"/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4.6.3. Обеспечение социальной адаптации осуществляется посредством: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стимулирования деятельности организаций, предоставляющих рабочие места лицам, нуждающимся в социальной адаптации, а также лицам, прошедшим курс лечения от наркомании, алкоголизма и токсикомании и реабилитацию;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предоставления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 в соответствии с Федеральным законом от 28 декабря 2013 г. № 442-ФЗ «Об основах социального обслуживания граждан в Российской Федерации», а также нормативными правовыми актами;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предоставления государственной социальной помощи на основании социального контракта в соответствии с Федеральным законом от 17 июля 1999 г. № 178-ФЗ «О государственной социальной помощи»;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привлечения общественных объединений для оказания содействия лицам, нуждающимся в социальной адаптации.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4.7.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7E04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представляет собой комплекс мер социально-экономического, педагогического, правового характера, осуществляемых субъектами профилактики правонарушений в соответствии с их компетенцией и лицами, участвующими в профилактике правонарушений, в целях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реинтеграции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в общество лиц, отбывших уголовное наказание в виде лишения свободы и (или) подвергшихся иным мерам уголовно-правового характера.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4.8. Социальная реабилитация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 xml:space="preserve">4.8.1. Социальная реабилитация представляет собой совокупность мероприятий по восстановлению утраченных социальных связей и функций лицами, находящимися в трудной жизненной ситуации, в том числе потребляющими наркотические средства и психотропные вещества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немедицинских целях.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4.8.2. Социальная реабилитация лиц,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ситуации, в том числе потребляющих наркотические средства и психотропные вещества в немедицинских целях, осуществляется в соответствии с законодательством Российской Федерации посредством: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разъяснения существующего порядка оказания социальной, профессиональной и правовой помощи;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оказания психологической помощи;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- содействия в восстановлении утраченных документов, социально-полезных связей.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4.8.3. Лицам, находящимся в трудной жизненной ситуации, в том числе потребляющим наркотические средства и психотропные вещества в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немедицинских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целях, организации социального обслуживания оказывают помощь в социальной реабилитации.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4.9. Помощь лицам, пострадавшим от правонарушений или подверженным риску стать таковыми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7E04">
        <w:rPr>
          <w:rFonts w:ascii="Times New Roman" w:hAnsi="Times New Roman" w:cs="Times New Roman"/>
          <w:sz w:val="28"/>
          <w:szCs w:val="28"/>
        </w:rPr>
        <w:t>Помощь лицам, пострадавшим от правонарушений или подверженным риску стать таковыми, направлена на оказание правовой, социальной, психологической, медицинской и иной поддержки указанным лицам,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  <w:proofErr w:type="gramEnd"/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217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 Компетенция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 Основные направления работы Совета совместно с субъектами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5.1.1. Выявляет, делает оценку и прогнозирует криминогенные факторы социального характера. Анализирует состояние правопорядка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с последующей выработкой практических рекомендаций по вопросам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5.1.2. Организует и проводит правовое регулирование профилактики правонарушений жителей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5.1.3. Принимает меры по укреплению взаимодействия и координации деятельности субъектов профилактики правонарушений, укреплению сотрудничества с населением, организациями всех форм собственности, общественными объединениями, средствами массовой информации, участвующими в профилактике правонарушений, по вопросам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 xml:space="preserve">5.1.4. Организует выявление и устранение причин и условий, способствующие антиобщественному поведению и совершению правонарушений, в том числе на почве социальной, расовой, национальной или религиозной розни.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5.1.5. Выявляет лиц, склонных к совершению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5.1.6. Выявляет лиц, пострадавших от правонарушений или подверженных риску стать таковыми, и лиц, находящихся в трудной жизненной ситуации (в том числе лиц, страдающих заболеваниями наркоманией и алкоголизмом, лиц без определённого места жительства).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5.1.7. Проводит мониторинг в сфере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5.1.8. Анализирует состояние профилактической работы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предприятиях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>, в организациях и учреждениях, расположенных на территории сельского поселения. Вносит  предложения по повышению эффективности работы по профилактике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5.1.9. Заслушивает руководителей учреждений и организаций системы профилактики правонарушений по вопросам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5.1.10. Разрабатывает и вносит в установленном порядке на рассмотрение главы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предложения и проекты распоряжений и постановлений по вопросам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5.1.11. Участвует в разработке и выполнении муниципальных целевых программ по профилактике правонарушений,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, антитеррористической, </w:t>
      </w:r>
      <w:proofErr w:type="spellStart"/>
      <w:r w:rsidRPr="00DD7E0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работе, привлекает к работе ведущих специалистов субъектов и органов профилактики правонарушений, негосударственных организаций и общественных объединений, участвующих в профилактике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5.1.12. Организует и проводит координационные совещания, конференции, рабочие встречи, брифинги по вопросам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5.1.13. Обобщает передовой опыт в сфере профилактики правонарушений и трансформирует его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5.2. Основные задачи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5.2.1. Оперативное решение вопросов, связанных с профилактикой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5.2.2. Выработка мер проведения единой политики по предупреждению и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поселения, направленных на повышение эффективности работы по выявлению и устранению причин и условий, способствующих совершению правонарушений и преступлений.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5.2.3. Координация работы по профилактике правонарушений органов и учреждений системы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5.2.4. Обеспечение взаимодействия структурных подразделений администрации муниципального района с территориальными органами федеральных органов исполнительной власти, администрациями районного и сельских поселений муниципального района, другими организациями и учреждениями независимо </w:t>
      </w:r>
      <w:r w:rsidRPr="00DD7E04">
        <w:rPr>
          <w:rFonts w:ascii="Times New Roman" w:hAnsi="Times New Roman" w:cs="Times New Roman"/>
          <w:sz w:val="28"/>
          <w:szCs w:val="28"/>
        </w:rPr>
        <w:lastRenderedPageBreak/>
        <w:t xml:space="preserve">от организационно-правовой формы и форм собственности в целях проведения единой государственной политики по профилактике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5.2.5. Внесение главе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на основе анализа состояния преступности на территории муниципального района предложений, направленных на формирование системы мер по обеспечению безопасности и защите граждан.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5.2.6. Проведение мониторинга выполнения муниципальной программы муниципального района «Обеспечение общественной безопасности и противодействие преступности в </w:t>
      </w:r>
      <w:proofErr w:type="spellStart"/>
      <w:r w:rsidR="00217583"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 на 2018 г».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5.2.7. Разработка рекомендаций по повышению эффективности профилактики правонарушений, устранению причин и условий, способствующих их совершению.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5.2.8. Подготовка проектов нормативных правовых актов администрации муниципального района в сфере профилактики правонарушений на территории муниципального района.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5.3. Права Совета в целях реализации поставленных задач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5.3.1. Принимать в пределах своей компетенции решения по организации и совершенствованию взаимодействия с территориальными органами федеральных органов исполнительной власти, администрациями района и сельских поселений, другими организациями и учреждениями независимо от организационно-правовой формы и форм собственности в сфере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5.3.2. Запрашивать и получать в установленном порядке у государственных, общественных, иных организаций и должностных лиц необходимые документы, материалы и информацию по вопросам, входящим в компетенцию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5.4.3. Создавать постоянные и временные рабочие группы для решения основных вопросов, относящихся к компетенции Совета, и определять порядок их работы.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5.4.4. Вносить в установленном порядке предложения по вопросам, относящимся к компетенции Совета, для рассмотрения на заседаниях коллегии при главе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5.4.5. Осуществлять в пределах своей компетенции контроль выполнения решений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5.4.6. Заслушивать отчёты руководителей и должностных лиц субъектов профилактики правонарушений по вопросам их предупреждения.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5.4.7. Давать поручения членам Совета, предложения и рекомендации должностным лицам по обсуждаемым вопросам.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5.4.8. Направлять предложения по улучшению и решению вопросов профилактики правонарушений руководителям субъектов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5.4.9. Приглашать на заседания Совета представителей средств массовой информации.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 xml:space="preserve">5.4.10. Координировать деятельность субъектов профилактики правонарушений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 по вопросам их предупреждения.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217583" w:rsidP="00217583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E04" w:rsidRPr="00DD7E04">
        <w:rPr>
          <w:rFonts w:ascii="Times New Roman" w:hAnsi="Times New Roman" w:cs="Times New Roman"/>
          <w:sz w:val="28"/>
          <w:szCs w:val="28"/>
        </w:rPr>
        <w:t>Организация работы Совета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6.1. Общие положения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6.1.1. Организация деятельности Совета осуществляется в соответствии с планом работы Совета, принимаемым на его заседании. План работы составляется на текущий год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предложений, поступивших от членов Совета, иных руководителей органов профилактики правонарушений, осуществляющих мероприятия по профилактике правонарушений на сельского поселения.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6.1.2. Заседания Совета проводятся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плана работы Совета, либо внепланово - при возникновении необходимости безотлагательного рассмотрения вопросов, относящихся к его компетенции.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6.1.3. Подготовка материалов к заседанию Совета осуществляется заместителем председателя Совета во взаимодействии с представителями субъектов профилактики правонарушений, иными руководителями органов профилактики правонарушений, осуществляющих мероприятия по профилактике правонарушений, к ведению которых относятся соответствующие вопросы повестки дня.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6.1.4. Материалы для рассмотрения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Совета представляются секретарю Совета за 10 дней до заседания Совета. С основными сообщениями по рассматриваемым вопросам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заседаниях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Совета выступают руководители органов и учреждений системы профилактики правонарушений.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6.1.5. Заседания Совета проводятся под руководством его председателя либо одного из заместителей (по поручению председателя) не реже одного раза в квартал и считаются правомочными, если на них присутствует более половины ее состава.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6.1.6. Присутствие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Совета его членов обязательно. В случае если член Совета не может участвовать в его заседании, полномочия делегируются исполняющему его обязанности должностному лицу.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6.2. Председатель Совета: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6.2.1. Осуществляет руководство деятельностью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6.2.2. При необходимости принимает решение о проведении внеочередных заседаний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6.2.3. Представляет Совет по вопросам, относящимся к его компетенции.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6.3. Заместитель председателя Совета: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6.3.1.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Оставаясь за председателя Совета исполняет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его функции.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6.3.2. Руководит работой секретаря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>6.3.3. Осуществляет подготовку проектов решений Совета совместно с представителя субъектов профилактики правонарушений по рассматриваемым вопросам.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 Секретарь Совета: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6.4.1. Разрабатывает проект плана работы Совета, согласовывая его с руководителями субъектов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6.4.2. Обеспечивает подготовку заседаний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6.4.3. Осуществление в рамках своей компетенции контроль за выполнением принимаемых Советом решений субъектами, реализующими меры, направленные на профилактику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6.4.4. Организует ведение делопроизводства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6.4.5. Подготавливает информационно-аналитические материалы по рассматриваемым Советом вопросам.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6.4.6. Собирает за 10 дней до заседания Совета материалы по рассматриваемым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вопросам.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6.4.7. Подготавливает проекты решений Совета совместно с представителями субъектов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6.4.8. Постоянно осуществляет мониторинг исполнения муниципальной программы «Обеспечение общественной безопасности и противодействие преступности в </w:t>
      </w:r>
      <w:proofErr w:type="spellStart"/>
      <w:r w:rsidR="00217583">
        <w:rPr>
          <w:rFonts w:ascii="Times New Roman" w:hAnsi="Times New Roman" w:cs="Times New Roman"/>
          <w:sz w:val="28"/>
          <w:szCs w:val="28"/>
        </w:rPr>
        <w:t>Бельтирском</w:t>
      </w:r>
      <w:proofErr w:type="spellEnd"/>
      <w:r w:rsidRPr="00DD7E04">
        <w:rPr>
          <w:rFonts w:ascii="Times New Roman" w:hAnsi="Times New Roman" w:cs="Times New Roman"/>
          <w:sz w:val="28"/>
          <w:szCs w:val="28"/>
        </w:rPr>
        <w:t xml:space="preserve"> сельском поселении на 2018 г».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6.4.9. По полученным запросам рассылает справочные и статистические материалы и информацию о работе Совета, передаёт протоколы заседания Совета для размещения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 Обязанности членов Совета при осуществлении профилактики правонарушений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6.5.1. Соблюдать законодательство Российской Федерации о профилактике правонарушений, законы и другие нормативные правовые акты, правовые акты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>сельского поселения, регулирующие вопросы профилактики правонарушений.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6.5.2. Соблюдать права и законные интересы граждан и организаций.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6.5.3. Соблюдать конфиденциальность полученной при осуществлении профилактики правонарушений информации, если её распространение ограничено законодательством Российской Федерации.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6.5.4. Исполнять иные обязанности, предусмотренные законодательством Российской Федерации.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6.5.5. Обеспечить доступ к информации о своей деятельности по профилактике правонарушений способами предусмотренными законодательством Российской Федерации.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6.5.6. Лица, участвующие в профилактике правонарушений, не вправе своими действиями создавать препятствия деятельности субъектов профилактики правонарушений и их должностных лиц.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lastRenderedPageBreak/>
        <w:t>6.6. Решения Совета: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6.6.1. Принимаются открытым голосованием большинством голосов присутствующих на заседании членов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При равенстве голосов, решающим для принятия решения является голос председательствующего на Совете.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6.6.2. Принимаемые Советом решения являются обязательными для исполнения всеми субъектами профилактики правонарушений работающими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Бельтирского </w:t>
      </w:r>
      <w:r w:rsidRPr="00DD7E04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6.6.3. Члены Совета обладают равными правами при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обсуждении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рассматриваемых на заседании Совета вопросов.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 xml:space="preserve">6.6.4. Решения Совета оформляются протоколом, который подписывается председательствующим на </w:t>
      </w:r>
      <w:proofErr w:type="gramStart"/>
      <w:r w:rsidRPr="00DD7E04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Pr="00DD7E04">
        <w:rPr>
          <w:rFonts w:ascii="Times New Roman" w:hAnsi="Times New Roman" w:cs="Times New Roman"/>
          <w:sz w:val="28"/>
          <w:szCs w:val="28"/>
        </w:rPr>
        <w:t xml:space="preserve"> и секретарём Совета.</w:t>
      </w:r>
    </w:p>
    <w:p w:rsidR="00DD7E04" w:rsidRPr="00DD7E04" w:rsidRDefault="00DD7E04" w:rsidP="00DD7E0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D7E04">
        <w:rPr>
          <w:rFonts w:ascii="Times New Roman" w:hAnsi="Times New Roman" w:cs="Times New Roman"/>
          <w:sz w:val="28"/>
          <w:szCs w:val="28"/>
        </w:rPr>
        <w:t>6.6.5. Решения, принимаемые Советом в соответствии с его компетенцией, направляются субъектам профилактики правонарушений, членам Совета.</w:t>
      </w:r>
    </w:p>
    <w:sectPr w:rsidR="00DD7E04" w:rsidRPr="00DD7E04" w:rsidSect="00331EA9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0367F"/>
    <w:multiLevelType w:val="hybridMultilevel"/>
    <w:tmpl w:val="1008652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87B0281"/>
    <w:multiLevelType w:val="multilevel"/>
    <w:tmpl w:val="2FF2DE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79E0"/>
    <w:rsid w:val="000775C9"/>
    <w:rsid w:val="000E252C"/>
    <w:rsid w:val="00210808"/>
    <w:rsid w:val="00217583"/>
    <w:rsid w:val="002175AE"/>
    <w:rsid w:val="002809CA"/>
    <w:rsid w:val="00323584"/>
    <w:rsid w:val="00331EA9"/>
    <w:rsid w:val="00361960"/>
    <w:rsid w:val="004C029B"/>
    <w:rsid w:val="0060461B"/>
    <w:rsid w:val="00717F3D"/>
    <w:rsid w:val="0072116C"/>
    <w:rsid w:val="00801A88"/>
    <w:rsid w:val="00821DE3"/>
    <w:rsid w:val="00825A2C"/>
    <w:rsid w:val="00831AEE"/>
    <w:rsid w:val="008B31CE"/>
    <w:rsid w:val="009626DD"/>
    <w:rsid w:val="009D05FC"/>
    <w:rsid w:val="009D2E92"/>
    <w:rsid w:val="00A473DC"/>
    <w:rsid w:val="00AB7F4B"/>
    <w:rsid w:val="00B03F06"/>
    <w:rsid w:val="00B53007"/>
    <w:rsid w:val="00B718E0"/>
    <w:rsid w:val="00BB2875"/>
    <w:rsid w:val="00BB71DB"/>
    <w:rsid w:val="00C2511E"/>
    <w:rsid w:val="00C322E5"/>
    <w:rsid w:val="00DD7E04"/>
    <w:rsid w:val="00F25FD1"/>
    <w:rsid w:val="00F566F3"/>
    <w:rsid w:val="00F80BC7"/>
    <w:rsid w:val="00FC6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  <w:style w:type="paragraph" w:styleId="a7">
    <w:name w:val="Normal (Web)"/>
    <w:basedOn w:val="a"/>
    <w:uiPriority w:val="99"/>
    <w:rsid w:val="00F566F3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F566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Title">
    <w:name w:val="ConsPlusTitle"/>
    <w:rsid w:val="00F56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0">
    <w:name w:val="Абзац списка1"/>
    <w:basedOn w:val="a"/>
    <w:rsid w:val="00F566F3"/>
    <w:pPr>
      <w:ind w:left="720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D7E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3760</Words>
  <Characters>21434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4</cp:revision>
  <cp:lastPrinted>2018-08-22T14:12:00Z</cp:lastPrinted>
  <dcterms:created xsi:type="dcterms:W3CDTF">2018-11-28T17:11:00Z</dcterms:created>
  <dcterms:modified xsi:type="dcterms:W3CDTF">2018-11-28T17:17:00Z</dcterms:modified>
</cp:coreProperties>
</file>