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B71156" w:rsidP="00A909F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08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A20E45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октября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A20E45" w:rsidP="00B71156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4</w:t>
            </w:r>
            <w:r w:rsidR="00B71156"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5</w:t>
            </w: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B71156" w:rsidRPr="006D167D" w:rsidRDefault="00B71156" w:rsidP="00B71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решения о применении бюджетных мер принуждения </w:t>
      </w:r>
    </w:p>
    <w:p w:rsidR="00B71156" w:rsidRPr="004538BE" w:rsidRDefault="00B71156" w:rsidP="00B71156">
      <w:pPr>
        <w:shd w:val="clear" w:color="auto" w:fill="FFFFFF"/>
        <w:rPr>
          <w:sz w:val="28"/>
          <w:szCs w:val="28"/>
        </w:rPr>
      </w:pP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статьи 306.3 Бюджетного Кодекса Российской Федерации,</w:t>
      </w:r>
      <w:r w:rsidRPr="004538BE">
        <w:rPr>
          <w:color w:val="000000"/>
          <w:sz w:val="28"/>
          <w:szCs w:val="28"/>
        </w:rPr>
        <w:t xml:space="preserve"> с 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 принуждения», </w:t>
      </w:r>
      <w:r>
        <w:rPr>
          <w:color w:val="000000"/>
          <w:sz w:val="28"/>
          <w:szCs w:val="28"/>
        </w:rPr>
        <w:t xml:space="preserve">сельская </w:t>
      </w:r>
      <w:r w:rsidRPr="004538BE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Бельтирского</w:t>
      </w:r>
      <w:r w:rsidRPr="004538BE">
        <w:rPr>
          <w:color w:val="000000"/>
          <w:sz w:val="28"/>
          <w:szCs w:val="28"/>
        </w:rPr>
        <w:t xml:space="preserve"> сельского поселения 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ПОСТАНОВЛЯЕТ: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1.Утвердить Порядок исполнения решения о применении бюджетных </w:t>
      </w:r>
      <w:r>
        <w:rPr>
          <w:color w:val="000000"/>
          <w:sz w:val="28"/>
          <w:szCs w:val="28"/>
        </w:rPr>
        <w:t>мер принуждения согласно приложении.</w:t>
      </w:r>
    </w:p>
    <w:p w:rsidR="00B10CA7" w:rsidRPr="00B71156" w:rsidRDefault="00B10CA7" w:rsidP="00B71156">
      <w:pPr>
        <w:pStyle w:val="a4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115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0F2061" w:rsidRPr="00B71156" w:rsidRDefault="00CB3D2A" w:rsidP="00B7115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156">
        <w:rPr>
          <w:rFonts w:ascii="Times New Roman" w:hAnsi="Times New Roman" w:cs="Times New Roman"/>
          <w:sz w:val="28"/>
          <w:szCs w:val="28"/>
        </w:rPr>
        <w:t>Контроль по исполнению данного приказа оставляю за собой.</w:t>
      </w:r>
    </w:p>
    <w:p w:rsidR="00A20E45" w:rsidRDefault="00A20E45" w:rsidP="00505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E45" w:rsidRDefault="00A20E45" w:rsidP="00505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32E" w:rsidRPr="00505F84" w:rsidRDefault="0066132E" w:rsidP="00505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84">
        <w:rPr>
          <w:rFonts w:ascii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C179D4" w:rsidRDefault="0066132E" w:rsidP="00505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F84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А.Л. Таханов</w:t>
      </w:r>
    </w:p>
    <w:p w:rsidR="00B71156" w:rsidRDefault="00B71156" w:rsidP="00505F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1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115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1156">
        <w:rPr>
          <w:rFonts w:ascii="Times New Roman" w:hAnsi="Times New Roman" w:cs="Times New Roman"/>
          <w:sz w:val="28"/>
          <w:szCs w:val="28"/>
        </w:rPr>
        <w:t>Бельтирского сельского поселения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71156">
        <w:rPr>
          <w:rFonts w:ascii="Times New Roman" w:hAnsi="Times New Roman" w:cs="Times New Roman"/>
          <w:sz w:val="28"/>
          <w:szCs w:val="28"/>
        </w:rPr>
        <w:t>от 08.10.2020 г.  №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B71156" w:rsidRPr="00B71156" w:rsidRDefault="00B71156" w:rsidP="00B71156">
      <w:pPr>
        <w:pStyle w:val="a3"/>
        <w:jc w:val="center"/>
        <w:rPr>
          <w:rStyle w:val="af0"/>
          <w:rFonts w:ascii="Times New Roman" w:hAnsi="Times New Roman"/>
          <w:color w:val="000000"/>
          <w:sz w:val="28"/>
          <w:szCs w:val="28"/>
        </w:rPr>
      </w:pPr>
    </w:p>
    <w:p w:rsidR="00B71156" w:rsidRPr="00B71156" w:rsidRDefault="00B71156" w:rsidP="00B71156">
      <w:pPr>
        <w:pStyle w:val="a3"/>
        <w:jc w:val="center"/>
        <w:rPr>
          <w:rFonts w:ascii="Times New Roman" w:hAnsi="Times New Roman" w:cs="Times New Roman"/>
        </w:rPr>
      </w:pPr>
      <w:r w:rsidRPr="00B71156">
        <w:rPr>
          <w:rStyle w:val="af0"/>
          <w:rFonts w:ascii="Times New Roman" w:hAnsi="Times New Roman"/>
          <w:color w:val="000000"/>
          <w:sz w:val="28"/>
          <w:szCs w:val="28"/>
        </w:rPr>
        <w:t>Порядок</w:t>
      </w:r>
    </w:p>
    <w:p w:rsidR="00B71156" w:rsidRPr="00B71156" w:rsidRDefault="00B71156" w:rsidP="00B71156">
      <w:pPr>
        <w:pStyle w:val="a3"/>
        <w:jc w:val="center"/>
        <w:rPr>
          <w:rFonts w:ascii="Times New Roman" w:hAnsi="Times New Roman" w:cs="Times New Roman"/>
        </w:rPr>
      </w:pPr>
      <w:r w:rsidRPr="00B71156">
        <w:rPr>
          <w:rStyle w:val="af0"/>
          <w:rFonts w:ascii="Times New Roman" w:hAnsi="Times New Roman"/>
          <w:color w:val="000000"/>
          <w:sz w:val="28"/>
          <w:szCs w:val="28"/>
        </w:rPr>
        <w:t>исполнения решения о применении бюджетных</w:t>
      </w:r>
    </w:p>
    <w:p w:rsidR="00B71156" w:rsidRPr="00B71156" w:rsidRDefault="00B71156" w:rsidP="00B71156">
      <w:pPr>
        <w:pStyle w:val="a3"/>
        <w:jc w:val="center"/>
        <w:rPr>
          <w:rStyle w:val="af0"/>
          <w:rFonts w:ascii="Times New Roman" w:hAnsi="Times New Roman"/>
          <w:color w:val="000000"/>
          <w:sz w:val="28"/>
          <w:szCs w:val="28"/>
        </w:rPr>
      </w:pPr>
      <w:r w:rsidRPr="00B71156">
        <w:rPr>
          <w:rStyle w:val="af0"/>
          <w:rFonts w:ascii="Times New Roman" w:hAnsi="Times New Roman"/>
          <w:color w:val="000000"/>
          <w:sz w:val="28"/>
          <w:szCs w:val="28"/>
        </w:rPr>
        <w:t>мер принуждения</w:t>
      </w:r>
    </w:p>
    <w:p w:rsidR="00B71156" w:rsidRPr="00B71156" w:rsidRDefault="00B71156" w:rsidP="00B71156">
      <w:pPr>
        <w:pStyle w:val="a3"/>
        <w:jc w:val="center"/>
        <w:rPr>
          <w:rFonts w:ascii="Times New Roman" w:hAnsi="Times New Roman" w:cs="Times New Roman"/>
        </w:rPr>
      </w:pP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 Общие положения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color w:val="000000"/>
          <w:sz w:val="28"/>
          <w:szCs w:val="28"/>
        </w:rPr>
        <w:t xml:space="preserve">МО </w:t>
      </w:r>
      <w:bookmarkStart w:id="0" w:name="_GoBack"/>
      <w:r>
        <w:rPr>
          <w:color w:val="000000"/>
          <w:sz w:val="28"/>
          <w:szCs w:val="28"/>
        </w:rPr>
        <w:t>Бельтирского</w:t>
      </w:r>
      <w:bookmarkEnd w:id="0"/>
      <w:r w:rsidR="000B7347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 xml:space="preserve">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нецелевое использование бюджетных средств;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 либо несвоевременный возврат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межбюджетных трансфертов;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превышение предельного объема муниципального долга, установленного статьей 107 БК РФ.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1.4. Нецелевым использованием бюджетных средств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>
        <w:rPr>
          <w:color w:val="000000"/>
          <w:sz w:val="28"/>
          <w:szCs w:val="28"/>
        </w:rPr>
        <w:t>Бельтирского</w:t>
      </w:r>
      <w:r w:rsidRPr="004538BE">
        <w:rPr>
          <w:color w:val="000000"/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1.6. Главный распорядитель средств бюджета </w:t>
      </w:r>
      <w:r>
        <w:rPr>
          <w:color w:val="000000"/>
          <w:sz w:val="28"/>
          <w:szCs w:val="28"/>
        </w:rPr>
        <w:t>Бельтирского</w:t>
      </w:r>
      <w:r w:rsidRPr="004538BE">
        <w:rPr>
          <w:color w:val="000000"/>
          <w:sz w:val="28"/>
          <w:szCs w:val="28"/>
        </w:rPr>
        <w:t xml:space="preserve">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</w:t>
      </w:r>
      <w:r w:rsidRPr="0000540C">
        <w:rPr>
          <w:color w:val="000000"/>
          <w:sz w:val="28"/>
          <w:szCs w:val="28"/>
        </w:rPr>
        <w:t>бюджетного нарушения по форме согласно Приложению № 1 к настоящему</w:t>
      </w:r>
      <w:r w:rsidRPr="004538BE">
        <w:rPr>
          <w:color w:val="000000"/>
          <w:sz w:val="28"/>
          <w:szCs w:val="28"/>
        </w:rPr>
        <w:t xml:space="preserve"> Порядку, с целью выдачи уведомления о применении бюджетных мер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 Бюджетные меры принуждения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2.1.К нарушителям бюджетного законодательства могут быть применены следующие бюджетные меры принуждения: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сокращение предоставления межбюджетных трансфертов (за исключением субвенций);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</w:t>
      </w:r>
      <w:r w:rsidRPr="004538BE">
        <w:rPr>
          <w:color w:val="000000"/>
          <w:sz w:val="28"/>
          <w:szCs w:val="28"/>
        </w:rPr>
        <w:lastRenderedPageBreak/>
        <w:t>платы за пользование бюджетным кредитом, начисленного на день принятия решения о применении бюджетной меры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 Порядок принятия и исполнения решения оприменении бюджетных мер принуждения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–органам муниципального финансовог</w:t>
      </w:r>
      <w:r>
        <w:rPr>
          <w:color w:val="000000"/>
          <w:sz w:val="28"/>
          <w:szCs w:val="28"/>
        </w:rPr>
        <w:t>о контроля и объектам контроля.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Решение о применении бюджетных мер принуждения должно содержать информацию о бюджетном нарушении, указанном в уведомлении о </w:t>
      </w:r>
      <w:r w:rsidRPr="004538BE">
        <w:rPr>
          <w:color w:val="000000"/>
          <w:sz w:val="28"/>
          <w:szCs w:val="28"/>
        </w:rPr>
        <w:lastRenderedPageBreak/>
        <w:t>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3.3. Уведомления о применении бюджетных мер принуждений регистрируются в течение двух рабочих дней со дня их поступления в </w:t>
      </w:r>
      <w:r w:rsidRPr="0000540C">
        <w:rPr>
          <w:color w:val="000000"/>
          <w:sz w:val="28"/>
          <w:szCs w:val="28"/>
        </w:rPr>
        <w:t>журнале регистрации уведомлений по форме согласно приложению № 2</w:t>
      </w:r>
      <w:r w:rsidRPr="004538BE">
        <w:rPr>
          <w:color w:val="000000"/>
          <w:sz w:val="28"/>
          <w:szCs w:val="28"/>
        </w:rPr>
        <w:t xml:space="preserve"> к настоящему порядку.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3.5. На основании уведомлений о применении бюджетных мер принуждения готовится решение о применении бюджетной меры принуждения в форме </w:t>
      </w:r>
      <w:r w:rsidRPr="0000540C">
        <w:rPr>
          <w:color w:val="000000"/>
          <w:sz w:val="28"/>
          <w:szCs w:val="28"/>
        </w:rPr>
        <w:t>распоряжения по форме согласно приложению № 3 к настоящему</w:t>
      </w:r>
      <w:r w:rsidRPr="004538BE">
        <w:rPr>
          <w:color w:val="000000"/>
          <w:sz w:val="28"/>
          <w:szCs w:val="28"/>
        </w:rPr>
        <w:t xml:space="preserve"> порядку.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</w:t>
      </w:r>
      <w:r w:rsidRPr="004538BE">
        <w:rPr>
          <w:color w:val="000000"/>
          <w:sz w:val="28"/>
          <w:szCs w:val="28"/>
        </w:rPr>
        <w:lastRenderedPageBreak/>
        <w:t>осуществляются в порядке, установленном о взыскании средств межбюджетного трансферта, остатков непогашенных кредитов.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>
        <w:rPr>
          <w:color w:val="000000"/>
          <w:sz w:val="28"/>
          <w:szCs w:val="28"/>
        </w:rPr>
        <w:t>МО Бельтирского</w:t>
      </w:r>
      <w:r w:rsidRPr="004538BE">
        <w:rPr>
          <w:color w:val="000000"/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 Случаи и условия продления исполнения бюджетной меры принуждения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</w:t>
      </w:r>
      <w:r w:rsidRPr="004538BE">
        <w:rPr>
          <w:color w:val="000000"/>
          <w:sz w:val="28"/>
          <w:szCs w:val="28"/>
        </w:rPr>
        <w:lastRenderedPageBreak/>
        <w:t>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B71156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</w:t>
      </w:r>
      <w:r>
        <w:rPr>
          <w:color w:val="000000"/>
          <w:sz w:val="28"/>
          <w:szCs w:val="28"/>
        </w:rPr>
        <w:t>ении бюджетной меры принуждения</w:t>
      </w:r>
      <w:r w:rsidRPr="004538BE">
        <w:rPr>
          <w:color w:val="000000"/>
          <w:sz w:val="28"/>
          <w:szCs w:val="28"/>
        </w:rPr>
        <w:t xml:space="preserve"> обязательств, указанных в пункте 4.2 настоящего постановления.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4.3. Для продления исполнения бюджетной меры принуждения на срок более одного года глава местной администрации, в отношении которого принято </w:t>
      </w:r>
      <w:r w:rsidRPr="004538BE">
        <w:rPr>
          <w:color w:val="000000"/>
          <w:sz w:val="28"/>
          <w:szCs w:val="28"/>
        </w:rPr>
        <w:lastRenderedPageBreak/>
        <w:t>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B71156" w:rsidRPr="004538BE" w:rsidRDefault="00B71156" w:rsidP="00B71156">
      <w:pPr>
        <w:pStyle w:val="a8"/>
        <w:shd w:val="clear" w:color="auto" w:fill="FFFFFF"/>
        <w:spacing w:before="0" w:beforeAutospacing="0" w:after="15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B71156" w:rsidRPr="004538BE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71156" w:rsidRPr="004538BE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B71156" w:rsidRPr="000E4798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к Порядку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исполнения решения о применении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1156" w:rsidRPr="00B71156" w:rsidRDefault="00B71156" w:rsidP="00B711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1156" w:rsidRPr="00B71156" w:rsidRDefault="00B71156" w:rsidP="00B711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УВЕДОМЛЕНИЕ №___</w:t>
      </w:r>
    </w:p>
    <w:p w:rsidR="00B71156" w:rsidRPr="00B71156" w:rsidRDefault="00B71156" w:rsidP="00B711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от _________________20___ г.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ab/>
        <w:t>На основании акта проверки (ревизии) от «___»_________ 20____г. №______ в отношении 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 xml:space="preserve">                                (полное наименование объекта контроля)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установлено:_____________________________________________________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B71156">
        <w:rPr>
          <w:rFonts w:ascii="Times New Roman" w:hAnsi="Times New Roman" w:cs="Times New Roman"/>
          <w:sz w:val="20"/>
          <w:szCs w:val="20"/>
        </w:rPr>
        <w:t>(излагаются обстоятельства  совершенного нарушения бюджетного законодательства Российской Федерации)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B71156" w:rsidRPr="00B71156" w:rsidRDefault="00B71156" w:rsidP="00B711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-142" w:firstLine="360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Взыскать средства бюджета поселения в сумме ______</w:t>
      </w:r>
      <w:r>
        <w:rPr>
          <w:rFonts w:ascii="Times New Roman" w:hAnsi="Times New Roman" w:cs="Times New Roman"/>
        </w:rPr>
        <w:t>________</w:t>
      </w:r>
      <w:r w:rsidRPr="00B71156">
        <w:rPr>
          <w:rFonts w:ascii="Times New Roman" w:hAnsi="Times New Roman" w:cs="Times New Roman"/>
        </w:rPr>
        <w:t>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B71156">
        <w:rPr>
          <w:rFonts w:ascii="Times New Roman" w:hAnsi="Times New Roman" w:cs="Times New Roman"/>
        </w:rPr>
        <w:t>(цифрами и прописью)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В бесспорном порядке со счета №__________________________________________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 xml:space="preserve">                                                                      (реквизиты счета получателя средств бюджета поселения)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В ___________________________________________________________________________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БИК ___________________________, ИНН_________________________,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Юридический адрес:___________________________________________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 xml:space="preserve">                                                                      (Индекс, почтовый адрес)</w:t>
      </w:r>
    </w:p>
    <w:p w:rsidR="00B71156" w:rsidRPr="00B71156" w:rsidRDefault="00B71156" w:rsidP="00B711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right="-142" w:firstLine="360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Приостановить предоставление межбюджетных трансфертов (за исключением субвенций) из бюджета поселения____________________________________________________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360"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71156">
        <w:rPr>
          <w:rFonts w:ascii="Times New Roman" w:hAnsi="Times New Roman" w:cs="Times New Roman"/>
          <w:sz w:val="20"/>
          <w:szCs w:val="20"/>
        </w:rPr>
        <w:t>(наименование получателя межбюджетных трансфертов)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в сумме_______________________________________________________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42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B71156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 w:firstLine="426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3.Сократить предоставление межбюджетных трансфертов  (за исключением субвенций) из бюджета поселения ___________________________________________________________________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360" w:right="-142"/>
        <w:jc w:val="center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(наименование получателя межбюджетных трансфертов)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в сумме_______________________________________________________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42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B71156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360"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360" w:right="-142"/>
        <w:jc w:val="both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spacing w:line="240" w:lineRule="auto"/>
        <w:ind w:left="360"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___________________________ (Ф.И.О.) _________________(подпись)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исполнения решения о применении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B71156" w:rsidRPr="00B71156" w:rsidRDefault="00B71156" w:rsidP="00B71156">
      <w:pPr>
        <w:autoSpaceDE w:val="0"/>
        <w:autoSpaceDN w:val="0"/>
        <w:adjustRightInd w:val="0"/>
        <w:ind w:left="4820" w:right="-142"/>
        <w:rPr>
          <w:rFonts w:ascii="Times New Roman" w:hAnsi="Times New Roman" w:cs="Times New Roman"/>
          <w:sz w:val="24"/>
          <w:szCs w:val="24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ЖУРНАЛ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0"/>
        <w:gridCol w:w="1203"/>
        <w:gridCol w:w="1291"/>
        <w:gridCol w:w="1463"/>
        <w:gridCol w:w="1203"/>
        <w:gridCol w:w="1203"/>
        <w:gridCol w:w="1561"/>
        <w:gridCol w:w="1110"/>
      </w:tblGrid>
      <w:tr w:rsidR="00B71156" w:rsidRPr="00B71156" w:rsidTr="00B71156">
        <w:tc>
          <w:tcPr>
            <w:tcW w:w="430" w:type="dxa"/>
            <w:vMerge w:val="restart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3" w:type="dxa"/>
            <w:vMerge w:val="restart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91" w:type="dxa"/>
            <w:vMerge w:val="restart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финансового контроля</w:t>
            </w:r>
          </w:p>
        </w:tc>
        <w:tc>
          <w:tcPr>
            <w:tcW w:w="1463" w:type="dxa"/>
            <w:vMerge w:val="restart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4" w:type="dxa"/>
            <w:gridSpan w:val="2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110" w:type="dxa"/>
            <w:vMerge w:val="restart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1156" w:rsidRPr="00B71156" w:rsidTr="00B71156">
        <w:tc>
          <w:tcPr>
            <w:tcW w:w="0" w:type="auto"/>
            <w:vMerge/>
            <w:vAlign w:val="center"/>
          </w:tcPr>
          <w:p w:rsidR="00B71156" w:rsidRPr="00B71156" w:rsidRDefault="00B71156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1156" w:rsidRPr="00B71156" w:rsidRDefault="00B71156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1156" w:rsidRPr="00B71156" w:rsidRDefault="00B71156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1156" w:rsidRPr="00B71156" w:rsidRDefault="00B71156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1156" w:rsidRPr="00B71156" w:rsidRDefault="00B71156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B71156" w:rsidRPr="00B71156" w:rsidRDefault="00B71156" w:rsidP="00D5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56" w:rsidRPr="00B71156" w:rsidTr="00B71156">
        <w:tc>
          <w:tcPr>
            <w:tcW w:w="430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156" w:rsidRPr="00B71156" w:rsidTr="00B71156">
        <w:tc>
          <w:tcPr>
            <w:tcW w:w="430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156" w:rsidRPr="00B71156" w:rsidTr="00B71156">
        <w:tc>
          <w:tcPr>
            <w:tcW w:w="430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71156" w:rsidRPr="00B71156" w:rsidRDefault="00B71156" w:rsidP="00D51C51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156" w:rsidRPr="00B71156" w:rsidRDefault="00B71156" w:rsidP="00B71156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B71156">
        <w:rPr>
          <w:rFonts w:ascii="Times New Roman" w:hAnsi="Times New Roman" w:cs="Times New Roman"/>
          <w:sz w:val="24"/>
          <w:szCs w:val="24"/>
        </w:rPr>
        <w:br w:type="page"/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outlineLvl w:val="1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lastRenderedPageBreak/>
        <w:t>ПРИЛОЖЕНИЕ №3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к Порядку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исполнения решения о применении</w:t>
      </w:r>
    </w:p>
    <w:p w:rsidR="00B71156" w:rsidRPr="00B71156" w:rsidRDefault="00B71156" w:rsidP="00B71156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бюджетных мер принуждения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keepNext/>
        <w:ind w:right="-14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156">
        <w:rPr>
          <w:rFonts w:ascii="Times New Roman" w:hAnsi="Times New Roman" w:cs="Times New Roman"/>
          <w:b/>
          <w:sz w:val="28"/>
          <w:szCs w:val="28"/>
        </w:rPr>
        <w:t>Администрация Бельтирского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15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71156" w:rsidRPr="00B71156" w:rsidRDefault="00B71156" w:rsidP="00B71156">
      <w:pPr>
        <w:keepNext/>
        <w:ind w:right="-142"/>
        <w:jc w:val="center"/>
        <w:outlineLvl w:val="1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keepNext/>
        <w:ind w:right="-142"/>
        <w:jc w:val="center"/>
        <w:outlineLvl w:val="1"/>
        <w:rPr>
          <w:rFonts w:ascii="Times New Roman" w:hAnsi="Times New Roman" w:cs="Times New Roman"/>
          <w:b/>
          <w:bCs/>
        </w:rPr>
      </w:pPr>
      <w:r w:rsidRPr="00B71156">
        <w:rPr>
          <w:rFonts w:ascii="Times New Roman" w:hAnsi="Times New Roman" w:cs="Times New Roman"/>
          <w:b/>
        </w:rPr>
        <w:t>РАСПОРЯЖЕНИЕ</w:t>
      </w:r>
    </w:p>
    <w:p w:rsidR="00B71156" w:rsidRPr="00B71156" w:rsidRDefault="00B71156" w:rsidP="00B71156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</w:rPr>
      </w:pPr>
      <w:r w:rsidRPr="00B71156">
        <w:rPr>
          <w:rFonts w:ascii="Times New Roman" w:hAnsi="Times New Roman" w:cs="Times New Roman"/>
          <w:kern w:val="32"/>
        </w:rPr>
        <w:t>от________________ № ______</w:t>
      </w:r>
    </w:p>
    <w:p w:rsidR="00B71156" w:rsidRPr="00B71156" w:rsidRDefault="00B71156" w:rsidP="00B71156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«О  применении мер принуждения к нарушителю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бюджетного законодательства»</w:t>
      </w:r>
    </w:p>
    <w:p w:rsidR="00B71156" w:rsidRPr="00B71156" w:rsidRDefault="00B71156" w:rsidP="00B71156">
      <w:pPr>
        <w:keepNext/>
        <w:spacing w:before="240" w:after="60"/>
        <w:ind w:right="-142"/>
        <w:outlineLvl w:val="0"/>
        <w:rPr>
          <w:rFonts w:ascii="Times New Roman" w:hAnsi="Times New Roman" w:cs="Times New Roman"/>
          <w:kern w:val="32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ab/>
        <w:t>На основании уведомления от _________№ __________ о применении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 xml:space="preserve">бюджетных  мер  принуждения,  в  соответствии  со  </w:t>
      </w:r>
      <w:hyperlink r:id="rId7" w:history="1">
        <w:r w:rsidRPr="00B71156">
          <w:rPr>
            <w:rStyle w:val="a9"/>
            <w:rFonts w:ascii="Times New Roman" w:hAnsi="Times New Roman"/>
          </w:rPr>
          <w:t>статьями  306.2</w:t>
        </w:r>
      </w:hyperlink>
      <w:r w:rsidRPr="00B71156">
        <w:rPr>
          <w:rFonts w:ascii="Times New Roman" w:hAnsi="Times New Roman" w:cs="Times New Roman"/>
        </w:rPr>
        <w:t xml:space="preserve">  и </w:t>
      </w:r>
      <w:hyperlink r:id="rId8" w:history="1">
        <w:r w:rsidRPr="00B71156">
          <w:rPr>
            <w:rStyle w:val="a9"/>
            <w:rFonts w:ascii="Times New Roman" w:hAnsi="Times New Roman"/>
          </w:rPr>
          <w:t>306.3</w:t>
        </w:r>
      </w:hyperlink>
      <w:r w:rsidRPr="00B71156">
        <w:rPr>
          <w:rFonts w:ascii="Times New Roman" w:hAnsi="Times New Roman" w:cs="Times New Roman"/>
        </w:rPr>
        <w:t xml:space="preserve"> Бюджетного кодекса Российской Федерации 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СЧИТАЮ НЕОБХОДИМЫМ: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ab/>
        <w:t>1.Применить к ___________________________________________ меру бюджетного принуждения___________________________________________________________________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_______________________________________________________________________________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_______________________________________________________________________________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_______________________________________________________________________________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(указывается мера бюджетного принуждения, вид и размер средств, подлежащих к взысканию)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</w:p>
    <w:p w:rsidR="00B71156" w:rsidRPr="00B71156" w:rsidRDefault="00B71156" w:rsidP="00B71156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>Руководитель финансового органа ____________   _________________________</w:t>
      </w:r>
    </w:p>
    <w:p w:rsidR="00B71156" w:rsidRPr="00B71156" w:rsidRDefault="00B71156" w:rsidP="00B71156">
      <w:pPr>
        <w:autoSpaceDE w:val="0"/>
        <w:autoSpaceDN w:val="0"/>
        <w:adjustRightInd w:val="0"/>
        <w:ind w:right="-142"/>
        <w:rPr>
          <w:rFonts w:ascii="Times New Roman" w:hAnsi="Times New Roman" w:cs="Times New Roman"/>
        </w:rPr>
      </w:pPr>
      <w:r w:rsidRPr="00B71156">
        <w:rPr>
          <w:rFonts w:ascii="Times New Roman" w:hAnsi="Times New Roman" w:cs="Times New Roman"/>
        </w:rPr>
        <w:t xml:space="preserve">                                                                 (подпись)               (расшифровка подписи)</w:t>
      </w:r>
    </w:p>
    <w:sectPr w:rsidR="00B71156" w:rsidRPr="00B71156" w:rsidSect="000F2061">
      <w:footerReference w:type="default" r:id="rId9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10" w:rsidRDefault="00DB5310" w:rsidP="008A5273">
      <w:pPr>
        <w:spacing w:after="0" w:line="240" w:lineRule="auto"/>
      </w:pPr>
      <w:r>
        <w:separator/>
      </w:r>
    </w:p>
  </w:endnote>
  <w:endnote w:type="continuationSeparator" w:id="1">
    <w:p w:rsidR="00DB5310" w:rsidRDefault="00DB5310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DB5310">
    <w:pPr>
      <w:pStyle w:val="aa"/>
      <w:jc w:val="center"/>
      <w:rPr>
        <w:lang w:val="ru-RU"/>
      </w:rPr>
    </w:pPr>
  </w:p>
  <w:p w:rsidR="00616244" w:rsidRDefault="00DB53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10" w:rsidRDefault="00DB5310" w:rsidP="008A5273">
      <w:pPr>
        <w:spacing w:after="0" w:line="240" w:lineRule="auto"/>
      </w:pPr>
      <w:r>
        <w:separator/>
      </w:r>
    </w:p>
  </w:footnote>
  <w:footnote w:type="continuationSeparator" w:id="1">
    <w:p w:rsidR="00DB5310" w:rsidRDefault="00DB5310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hybridMultilevel"/>
    <w:tmpl w:val="79984B4E"/>
    <w:lvl w:ilvl="0" w:tplc="18FCF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5232F1"/>
    <w:multiLevelType w:val="hybridMultilevel"/>
    <w:tmpl w:val="F92C9558"/>
    <w:lvl w:ilvl="0" w:tplc="18FCF67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5DC6450"/>
    <w:multiLevelType w:val="hybridMultilevel"/>
    <w:tmpl w:val="A29A606E"/>
    <w:lvl w:ilvl="0" w:tplc="6890D7A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3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642B8"/>
    <w:rsid w:val="00075239"/>
    <w:rsid w:val="000763B6"/>
    <w:rsid w:val="000946AD"/>
    <w:rsid w:val="0009594B"/>
    <w:rsid w:val="000A259F"/>
    <w:rsid w:val="000B288F"/>
    <w:rsid w:val="000B7347"/>
    <w:rsid w:val="000B7492"/>
    <w:rsid w:val="000E7E2B"/>
    <w:rsid w:val="000F2061"/>
    <w:rsid w:val="00106F2A"/>
    <w:rsid w:val="00113FCD"/>
    <w:rsid w:val="00126639"/>
    <w:rsid w:val="001314BD"/>
    <w:rsid w:val="0014785D"/>
    <w:rsid w:val="0018122E"/>
    <w:rsid w:val="001850DD"/>
    <w:rsid w:val="00196A1C"/>
    <w:rsid w:val="001D3486"/>
    <w:rsid w:val="001D4A39"/>
    <w:rsid w:val="001D5317"/>
    <w:rsid w:val="001E721C"/>
    <w:rsid w:val="001F0F2C"/>
    <w:rsid w:val="001F4329"/>
    <w:rsid w:val="00211058"/>
    <w:rsid w:val="00213CEE"/>
    <w:rsid w:val="00214C5C"/>
    <w:rsid w:val="00215500"/>
    <w:rsid w:val="002258F7"/>
    <w:rsid w:val="00230F52"/>
    <w:rsid w:val="00266B0F"/>
    <w:rsid w:val="00294915"/>
    <w:rsid w:val="00294C93"/>
    <w:rsid w:val="002A427F"/>
    <w:rsid w:val="002D65A3"/>
    <w:rsid w:val="002E1028"/>
    <w:rsid w:val="002F3356"/>
    <w:rsid w:val="00313D56"/>
    <w:rsid w:val="0035286E"/>
    <w:rsid w:val="00354F9B"/>
    <w:rsid w:val="003847A1"/>
    <w:rsid w:val="00402E4C"/>
    <w:rsid w:val="00405C22"/>
    <w:rsid w:val="004079A7"/>
    <w:rsid w:val="00413729"/>
    <w:rsid w:val="00443AAB"/>
    <w:rsid w:val="00446C2B"/>
    <w:rsid w:val="004738DC"/>
    <w:rsid w:val="00474FB1"/>
    <w:rsid w:val="00487E98"/>
    <w:rsid w:val="00490B40"/>
    <w:rsid w:val="00492B39"/>
    <w:rsid w:val="004B0A53"/>
    <w:rsid w:val="004C3C5D"/>
    <w:rsid w:val="004F36A8"/>
    <w:rsid w:val="00505F84"/>
    <w:rsid w:val="00557123"/>
    <w:rsid w:val="005B7009"/>
    <w:rsid w:val="005F32B9"/>
    <w:rsid w:val="006128E7"/>
    <w:rsid w:val="0063090B"/>
    <w:rsid w:val="0063657A"/>
    <w:rsid w:val="0066132E"/>
    <w:rsid w:val="006C46AF"/>
    <w:rsid w:val="006E55A0"/>
    <w:rsid w:val="006E7A1E"/>
    <w:rsid w:val="006F4957"/>
    <w:rsid w:val="0070289B"/>
    <w:rsid w:val="00704B60"/>
    <w:rsid w:val="00710306"/>
    <w:rsid w:val="0072244D"/>
    <w:rsid w:val="00733702"/>
    <w:rsid w:val="00756B85"/>
    <w:rsid w:val="00767B0A"/>
    <w:rsid w:val="00771369"/>
    <w:rsid w:val="00780EB7"/>
    <w:rsid w:val="007A3117"/>
    <w:rsid w:val="007D3F4B"/>
    <w:rsid w:val="007D6A82"/>
    <w:rsid w:val="007D7238"/>
    <w:rsid w:val="00803E13"/>
    <w:rsid w:val="008068A0"/>
    <w:rsid w:val="00816CF1"/>
    <w:rsid w:val="00816F8E"/>
    <w:rsid w:val="00826628"/>
    <w:rsid w:val="00863345"/>
    <w:rsid w:val="008644BE"/>
    <w:rsid w:val="008A5273"/>
    <w:rsid w:val="008A5B89"/>
    <w:rsid w:val="008F247B"/>
    <w:rsid w:val="009037A0"/>
    <w:rsid w:val="00907CC2"/>
    <w:rsid w:val="0093143B"/>
    <w:rsid w:val="009448F1"/>
    <w:rsid w:val="00944C30"/>
    <w:rsid w:val="0094584E"/>
    <w:rsid w:val="00967ACD"/>
    <w:rsid w:val="00976A7C"/>
    <w:rsid w:val="009C24CF"/>
    <w:rsid w:val="009C29CE"/>
    <w:rsid w:val="009D6F9F"/>
    <w:rsid w:val="00A0145E"/>
    <w:rsid w:val="00A20802"/>
    <w:rsid w:val="00A20E45"/>
    <w:rsid w:val="00A20F33"/>
    <w:rsid w:val="00A45759"/>
    <w:rsid w:val="00A63B12"/>
    <w:rsid w:val="00A7573E"/>
    <w:rsid w:val="00A778DE"/>
    <w:rsid w:val="00A909FD"/>
    <w:rsid w:val="00AD2273"/>
    <w:rsid w:val="00AF364C"/>
    <w:rsid w:val="00B01E6A"/>
    <w:rsid w:val="00B10CA7"/>
    <w:rsid w:val="00B1456A"/>
    <w:rsid w:val="00B31B07"/>
    <w:rsid w:val="00B33931"/>
    <w:rsid w:val="00B37FD7"/>
    <w:rsid w:val="00B407E3"/>
    <w:rsid w:val="00B46C78"/>
    <w:rsid w:val="00B6262F"/>
    <w:rsid w:val="00B63748"/>
    <w:rsid w:val="00B66FCB"/>
    <w:rsid w:val="00B71156"/>
    <w:rsid w:val="00B767DD"/>
    <w:rsid w:val="00B86B25"/>
    <w:rsid w:val="00BA536C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D041B7"/>
    <w:rsid w:val="00D17FAC"/>
    <w:rsid w:val="00D2378F"/>
    <w:rsid w:val="00D40ECD"/>
    <w:rsid w:val="00D538A7"/>
    <w:rsid w:val="00D67BDD"/>
    <w:rsid w:val="00D70D47"/>
    <w:rsid w:val="00D74BF9"/>
    <w:rsid w:val="00D81ADE"/>
    <w:rsid w:val="00D90715"/>
    <w:rsid w:val="00DB5310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77717"/>
    <w:rsid w:val="00E922E6"/>
    <w:rsid w:val="00E93605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Гипертекстовая ссылка"/>
    <w:basedOn w:val="a0"/>
    <w:uiPriority w:val="99"/>
    <w:rsid w:val="00D041B7"/>
    <w:rPr>
      <w:color w:val="106BBE"/>
    </w:rPr>
  </w:style>
  <w:style w:type="character" w:styleId="af0">
    <w:name w:val="Strong"/>
    <w:basedOn w:val="a0"/>
    <w:uiPriority w:val="99"/>
    <w:qFormat/>
    <w:rsid w:val="00B7115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2020-10-07T09:28:00Z</cp:lastPrinted>
  <dcterms:created xsi:type="dcterms:W3CDTF">2020-10-12T09:50:00Z</dcterms:created>
  <dcterms:modified xsi:type="dcterms:W3CDTF">2020-10-15T03:17:00Z</dcterms:modified>
</cp:coreProperties>
</file>